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77" w:rsidRPr="00AA6A77" w:rsidRDefault="00AA6A77" w:rsidP="00AA6A7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8C9E"/>
          <w:kern w:val="36"/>
          <w:sz w:val="27"/>
          <w:szCs w:val="27"/>
          <w:lang w:eastAsia="ru-RU"/>
        </w:rPr>
      </w:pPr>
      <w:r w:rsidRPr="00AA6A77">
        <w:rPr>
          <w:rFonts w:ascii="Arial" w:eastAsia="Times New Roman" w:hAnsi="Arial" w:cs="Arial"/>
          <w:b/>
          <w:bCs/>
          <w:color w:val="008C9E"/>
          <w:kern w:val="36"/>
          <w:sz w:val="27"/>
          <w:szCs w:val="27"/>
          <w:lang w:eastAsia="ru-RU"/>
        </w:rPr>
        <w:t>Количество субъектов малого и среднего предпринимательства и их классификация по видам экономической деятельности за 2024 год</w:t>
      </w:r>
    </w:p>
    <w:p w:rsidR="00AA6A77" w:rsidRPr="00AA6A77" w:rsidRDefault="00AA6A77" w:rsidP="00AA6A7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2C2B2B"/>
          <w:sz w:val="17"/>
          <w:szCs w:val="17"/>
          <w:lang w:eastAsia="ru-RU"/>
        </w:rPr>
        <w:t xml:space="preserve"> 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C2B2B"/>
          <w:sz w:val="20"/>
          <w:szCs w:val="20"/>
          <w:lang w:eastAsia="ru-RU"/>
        </w:rPr>
        <w:drawing>
          <wp:inline distT="0" distB="0" distL="0" distR="0">
            <wp:extent cx="2860040" cy="1905000"/>
            <wp:effectExtent l="0" t="0" r="0" b="0"/>
            <wp:docPr id="1" name="Рисунок 1" descr="http://birsk-gp.ru/wp-content/uploads/2025/01/Subekty-SMP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sk-gp.ru/wp-content/uploads/2025/01/Subekty-SMP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Количество субъектов малого и среднего предпринимательства (далее – МСП) и их классификация по видам экономической деятельности за 2024 год (по состоянию на 10.01.2025) представлена в таблице: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1158"/>
        <w:gridCol w:w="1185"/>
      </w:tblGrid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 – всего по состоянию на конец года (2024) (включая </w:t>
            </w:r>
            <w:proofErr w:type="spellStart"/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A6A77" w:rsidRPr="00AA6A77" w:rsidRDefault="00AA6A77" w:rsidP="00AA6A7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Сельское, лесное хозяйство, охота, рыболовство и рыбоводство (01-03)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Добыча полезных ископаемых (05 -09)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Обрабатывающие производства (10 -33)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 (35)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 (36-37)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(41-43)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 (45-47)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хранение (52,53)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гостиниц и предприятий общественного питания (55,56)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  <w:p w:rsidR="00AA6A77" w:rsidRPr="00AA6A77" w:rsidRDefault="00AA6A77" w:rsidP="00AA6A7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(39,58-63)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финансовая и страховая (64-66)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по операциям с недвижимым имуществом (68)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профессиональная, научная и </w:t>
            </w: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техническая (69-75)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Деятельность административная и сопутствующие дополнительные услуги (77-82)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 (84)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(85)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здравоохранения и социальных услуг (86-88)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 (90-93)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прочих видов услуг (94-96)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(97,98)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6A77" w:rsidRPr="00AA6A77" w:rsidTr="00AA6A77">
        <w:trPr>
          <w:tblCellSpacing w:w="15" w:type="dxa"/>
        </w:trPr>
        <w:tc>
          <w:tcPr>
            <w:tcW w:w="5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экстерриториальных организаций и органов (99)</w:t>
            </w:r>
          </w:p>
        </w:tc>
        <w:tc>
          <w:tcPr>
            <w:tcW w:w="11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6A77" w:rsidRPr="00AA6A77" w:rsidRDefault="00AA6A77" w:rsidP="00AA6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– Информация о числе замещенных рабочих мест в субъектах МСП          в соответствии с их классификацией по видам экономической деятельности отсутствует.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– Информация об обороте товаров (работе, услуг), производимых субъектами СМП в соответствии с их классификацией по видам экономической деятельности, отсутствует.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– На </w:t>
      </w:r>
      <w:r w:rsidRPr="00AA6A77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10.01.2025</w:t>
      </w: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 года на территории муниципального района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Бирский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 Республики Башкортостан по данным Единого реестра субъектов МСП зарегистрировано 1334 субъекта МСП: 1071 индивидуальный предприниматель и 263 юридических лица. За 2024 год открылось 296 индивидуальных предпринимателей и 23 юридических лица. Количество плательщиков Налога на профессиональный доход – 4482, в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т.ч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 145 ИП.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Малым предпринимательством охвачены все сферы деятельности: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торговля – 41,7 %; производство – 6,6 %; транспортировка и хранение – 7,3 %;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строительство – 7,8 %; сельское хозяйство – 4,6 %, прочие сферы, в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т.ч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 платные – 32%.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Развитие и поддержка предпринимательства является одним                       из приоритетных направлений на территории муниципального района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Бирский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 Республики Башкортостан. С целью развития малого бизнеса                    в муниципальном районе и оказания помощи предпринимателям проводятся встречи с представителями субъектов МСП,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предпринимательства, оказывается юридическая поддержка. Еженедельно по четвергам проходят предпринимательские часы, на которых можно представить бизнес – проекты, задать волнующие вопросы, запросить меры финансовой, имущественной, консультационной и иной поддержки. Также на официальном сайте администрации и в официальной сети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ВКонтакте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освещаются меры поддержки малого и среднего предпринимательства, объявляются различные конкурсы.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proofErr w:type="gram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В 2024 году на поддержку субъектов МСП за счет средств местного бюджета в виде субсидий было выделено: из муниципального                              и республиканского бюджетов выделены средства на общую сумму – 1325554,27 рублей: из местного бюджета выделено – 800 000 рублей,                 из республиканского бюджета – 525554,27 рублей по следующим видам финансовой поддержки:</w:t>
      </w:r>
      <w:proofErr w:type="gramEnd"/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lastRenderedPageBreak/>
        <w:t>а) возмещение части затрат, связанных с подключением инженерной инфраструктуры;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б) возмещение части затрат на уплату первоначального взноса (аванса) и лизинговых платежей по договор</w:t>
      </w:r>
      <w:proofErr w:type="gram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у(</w:t>
      </w:r>
      <w:proofErr w:type="gram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-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ам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 лизинга, заключенному(-ым) с российскими лизинговыми организациями;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в) возмещение части затрат по уплате процентной ставки по кредитном</w:t>
      </w:r>
      <w:proofErr w:type="gram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у(</w:t>
      </w:r>
      <w:proofErr w:type="gram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-ым) договору(-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ам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), заключенному(-ым) на инвестиционные цели в российской(-их) кредитной(-ых) организации(-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ях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г) возмещение части затрат на приобретение основных средств;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д) возмещение части затрат, связанных с приобретением объектов недвижимости;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е) финансовое обеспечение части планируемых затрат на начальной стадии становления бизнеса.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В рамках муниципальной программы «Развитие и поддержка субъектов малого и среднего предпринимательства в муниципальном районе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Бирский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 Республики Башкортостан» в 2024 году финансовую поддержку получили 11 субъектов малого и среднего предпринимательства получили финансовую поддержку.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proofErr w:type="gram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Также Филиал Республиканского центра социальной поддержки населения по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Бирскому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району и городу Бирск в рамках программы «Адресная социальная помощь на основании социального контракта малообеспеченным гражданам, проживающим на территории муниципального района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Бирский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 Республики Башкортостан» оказал поддержку 12 гражданам на сумму       4 290 000,00 рублей на открытие и организацию своего дела, 12 человек получили адресную социальную помощь на основании социального контракта</w:t>
      </w:r>
      <w:proofErr w:type="gram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на развитие личных подсобных хозяйств (стали </w:t>
      </w:r>
      <w:proofErr w:type="spell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самозанятыми</w:t>
      </w:r>
      <w:proofErr w:type="spell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 на сумму           2 270 000,00 рублей. За 2024 год количество граждан, получивших поддержку, по сравнению с 2023 годом, увеличилось на 15 и составило 50 человек.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Сумма поддержки по сравнению с 2023 годом увеличилась на 275 208,00 руб. и составила в 2024 году 8 824 208,00 руб.</w:t>
      </w:r>
    </w:p>
    <w:p w:rsidR="00AA6A77" w:rsidRPr="00AA6A77" w:rsidRDefault="00AA6A77" w:rsidP="00AA6A7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– Информация об организациях, образующих инфраструктуру поддержки субъектов МСП, условиях и порядке оказания такими организациями поддержки субъектам МСП на территории </w:t>
      </w:r>
      <w:proofErr w:type="spellStart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района Курской области</w:t>
      </w:r>
      <w:bookmarkStart w:id="0" w:name="_GoBack"/>
      <w:bookmarkEnd w:id="0"/>
      <w:proofErr w:type="gramStart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</w:t>
      </w:r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,</w:t>
      </w:r>
      <w:proofErr w:type="gramEnd"/>
      <w:r w:rsidRPr="00AA6A7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отсутствует.</w:t>
      </w:r>
    </w:p>
    <w:p w:rsidR="00BB1F37" w:rsidRDefault="00BB1F37"/>
    <w:sectPr w:rsidR="00BB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7D"/>
    <w:rsid w:val="0026287D"/>
    <w:rsid w:val="00AA6A77"/>
    <w:rsid w:val="00B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6A77"/>
    <w:rPr>
      <w:color w:val="0000FF"/>
      <w:u w:val="single"/>
    </w:rPr>
  </w:style>
  <w:style w:type="paragraph" w:customStyle="1" w:styleId="post-date-inline">
    <w:name w:val="post-date-inline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AA6A77"/>
  </w:style>
  <w:style w:type="paragraph" w:styleId="a4">
    <w:name w:val="Normal (Web)"/>
    <w:basedOn w:val="a"/>
    <w:uiPriority w:val="99"/>
    <w:unhideWhenUsed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6A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6A77"/>
    <w:rPr>
      <w:color w:val="0000FF"/>
      <w:u w:val="single"/>
    </w:rPr>
  </w:style>
  <w:style w:type="paragraph" w:customStyle="1" w:styleId="post-date-inline">
    <w:name w:val="post-date-inline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AA6A77"/>
  </w:style>
  <w:style w:type="paragraph" w:styleId="a4">
    <w:name w:val="Normal (Web)"/>
    <w:basedOn w:val="a"/>
    <w:uiPriority w:val="99"/>
    <w:unhideWhenUsed/>
    <w:rsid w:val="00A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6A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2025-01-30T12:53:00Z</dcterms:created>
  <dcterms:modified xsi:type="dcterms:W3CDTF">2025-01-30T12:55:00Z</dcterms:modified>
</cp:coreProperties>
</file>